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C0AD5">
      <w:pPr>
        <w:spacing w:line="560" w:lineRule="exact"/>
        <w:jc w:val="both"/>
        <w:rPr>
          <w:rFonts w:hint="eastAsia" w:ascii="黑体" w:hAnsi="黑体" w:eastAsia="黑体" w:cs="黑体"/>
          <w:sz w:val="32"/>
          <w:szCs w:val="32"/>
        </w:rPr>
      </w:pPr>
      <w:r>
        <w:rPr>
          <w:rFonts w:hint="eastAsia" w:ascii="黑体" w:hAnsi="黑体" w:eastAsia="黑体" w:cs="黑体"/>
          <w:sz w:val="32"/>
          <w:szCs w:val="32"/>
        </w:rPr>
        <w:t>附件2</w:t>
      </w:r>
    </w:p>
    <w:p w14:paraId="234EEF35">
      <w:pPr>
        <w:spacing w:line="560" w:lineRule="exact"/>
        <w:jc w:val="both"/>
        <w:rPr>
          <w:rFonts w:hint="eastAsia" w:ascii="黑体" w:hAnsi="黑体" w:eastAsia="黑体" w:cs="黑体"/>
          <w:sz w:val="32"/>
          <w:szCs w:val="32"/>
        </w:rPr>
      </w:pPr>
    </w:p>
    <w:p w14:paraId="37BD8AE0">
      <w:pPr>
        <w:spacing w:line="596" w:lineRule="exact"/>
        <w:jc w:val="center"/>
        <w:rPr>
          <w:rFonts w:ascii="方正小标宋_GBK" w:hAnsi="Times New Roman" w:eastAsia="方正小标宋_GBK"/>
          <w:kern w:val="2"/>
          <w:sz w:val="44"/>
          <w:szCs w:val="44"/>
        </w:rPr>
      </w:pPr>
      <w:bookmarkStart w:id="0" w:name="_GoBack"/>
      <w:r>
        <w:rPr>
          <w:rFonts w:hint="eastAsia" w:ascii="方正小标宋_GBK" w:hAnsi="Times New Roman" w:eastAsia="方正小标宋_GBK"/>
          <w:kern w:val="2"/>
          <w:sz w:val="44"/>
          <w:szCs w:val="44"/>
        </w:rPr>
        <w:t>关于加强全市中小微企业融资支持的</w:t>
      </w:r>
    </w:p>
    <w:p w14:paraId="4AFEA198">
      <w:pPr>
        <w:spacing w:line="596" w:lineRule="exact"/>
        <w:jc w:val="center"/>
        <w:rPr>
          <w:rFonts w:ascii="Times New Roman" w:hAnsi="Times New Roman" w:eastAsia="方正小标宋_GBK"/>
          <w:kern w:val="2"/>
          <w:sz w:val="44"/>
          <w:szCs w:val="44"/>
        </w:rPr>
      </w:pPr>
      <w:r>
        <w:rPr>
          <w:rFonts w:hint="eastAsia" w:ascii="方正小标宋_GBK" w:hAnsi="Times New Roman" w:eastAsia="方正小标宋_GBK"/>
          <w:kern w:val="2"/>
          <w:sz w:val="44"/>
          <w:szCs w:val="44"/>
        </w:rPr>
        <w:t>若干措施</w:t>
      </w:r>
    </w:p>
    <w:bookmarkEnd w:id="0"/>
    <w:p w14:paraId="258A2E3F">
      <w:pPr>
        <w:spacing w:line="596" w:lineRule="exact"/>
        <w:jc w:val="center"/>
        <w:rPr>
          <w:rFonts w:ascii="Times New Roman" w:hAnsi="Times New Roman" w:eastAsia="方正仿宋_GBK"/>
          <w:kern w:val="2"/>
          <w:sz w:val="32"/>
          <w:szCs w:val="32"/>
        </w:rPr>
      </w:pPr>
      <w:r>
        <w:rPr>
          <w:rFonts w:ascii="Times New Roman" w:hAnsi="Times New Roman" w:eastAsia="方正仿宋_GBK"/>
          <w:kern w:val="2"/>
          <w:sz w:val="32"/>
          <w:szCs w:val="32"/>
        </w:rPr>
        <w:t xml:space="preserve"> </w:t>
      </w:r>
    </w:p>
    <w:p w14:paraId="411CDB30">
      <w:pPr>
        <w:spacing w:line="596" w:lineRule="exact"/>
        <w:ind w:firstLine="640" w:firstLineChars="200"/>
        <w:jc w:val="both"/>
        <w:rPr>
          <w:rFonts w:ascii="Times New Roman" w:hAnsi="Times New Roman" w:eastAsia="方正仿宋_GBK"/>
          <w:kern w:val="2"/>
          <w:sz w:val="32"/>
          <w:szCs w:val="32"/>
        </w:rPr>
      </w:pPr>
      <w:r>
        <w:rPr>
          <w:rFonts w:hint="eastAsia" w:ascii="方正仿宋_GBK" w:hAnsi="Times New Roman" w:eastAsia="方正仿宋_GBK"/>
          <w:kern w:val="2"/>
          <w:sz w:val="32"/>
          <w:szCs w:val="32"/>
        </w:rPr>
        <w:t>为深入贯彻中央、省委金融工作会议和市委八届九次全会精神，认真落实小微企业融资协调机制部署要求，</w:t>
      </w:r>
      <w:r>
        <w:rPr>
          <w:rFonts w:hint="eastAsia" w:ascii="方正仿宋_GBK" w:hAnsi="Times New Roman" w:eastAsia="方正仿宋_GBK" w:cs="仿宋"/>
          <w:kern w:val="2"/>
          <w:sz w:val="32"/>
          <w:szCs w:val="32"/>
        </w:rPr>
        <w:t>强化重点领域金融要素保障，</w:t>
      </w:r>
      <w:r>
        <w:rPr>
          <w:rFonts w:hint="eastAsia" w:ascii="方正仿宋_GBK" w:hAnsi="Times New Roman" w:eastAsia="方正仿宋_GBK"/>
          <w:kern w:val="2"/>
          <w:sz w:val="32"/>
          <w:szCs w:val="32"/>
        </w:rPr>
        <w:t>加大金融支持实体经济力度，现制定以下若干措施：</w:t>
      </w:r>
    </w:p>
    <w:p w14:paraId="0B11920A">
      <w:pPr>
        <w:spacing w:line="596" w:lineRule="exact"/>
        <w:ind w:firstLine="640" w:firstLineChars="200"/>
        <w:jc w:val="both"/>
        <w:rPr>
          <w:rFonts w:ascii="方正仿宋_GBK" w:hAnsi="Times New Roman" w:eastAsia="方正仿宋_GBK"/>
          <w:kern w:val="2"/>
          <w:sz w:val="32"/>
          <w:szCs w:val="32"/>
        </w:rPr>
      </w:pPr>
      <w:r>
        <w:rPr>
          <w:rFonts w:hint="eastAsia" w:ascii="方正黑体_GBK" w:hAnsi="Times New Roman" w:eastAsia="方正黑体_GBK"/>
          <w:kern w:val="2"/>
          <w:sz w:val="32"/>
          <w:szCs w:val="32"/>
        </w:rPr>
        <w:t>一、保持金融供给稳步增长。</w:t>
      </w:r>
      <w:r>
        <w:rPr>
          <w:rFonts w:hint="eastAsia" w:ascii="方正仿宋_GBK" w:hAnsi="Times New Roman" w:eastAsia="方正仿宋_GBK"/>
          <w:kern w:val="2"/>
          <w:sz w:val="32"/>
          <w:szCs w:val="32"/>
        </w:rPr>
        <w:t>充分发挥银行信贷融资主渠道作用，引导金融机构建立“敢贷、愿贷、能贷、会贷”长效机制，积极向上争取金融资源，加快政策性开发性金融产品、设备更新改造等专项贷款落地，推动在盐分支机构在系统内信贷份额稳中有升。围绕“两重”“两新”重点投向领域，积极争取超长期特别国债、中央预算内投资、地方政府专项债等资金支持。</w:t>
      </w:r>
      <w:r>
        <w:rPr>
          <w:rFonts w:ascii="Times New Roman" w:hAnsi="Times New Roman" w:eastAsia="方正仿宋_GBK"/>
          <w:kern w:val="2"/>
          <w:sz w:val="32"/>
          <w:szCs w:val="32"/>
        </w:rPr>
        <w:t>2025</w:t>
      </w:r>
      <w:r>
        <w:rPr>
          <w:rFonts w:hint="eastAsia" w:ascii="方正仿宋_GBK" w:hAnsi="Times New Roman" w:eastAsia="方正仿宋_GBK"/>
          <w:kern w:val="2"/>
          <w:sz w:val="32"/>
          <w:szCs w:val="32"/>
        </w:rPr>
        <w:t>年全市新增贷款</w:t>
      </w:r>
      <w:r>
        <w:rPr>
          <w:rFonts w:ascii="Times New Roman" w:hAnsi="Times New Roman" w:eastAsia="方正仿宋_GBK"/>
          <w:kern w:val="2"/>
          <w:sz w:val="32"/>
          <w:szCs w:val="32"/>
        </w:rPr>
        <w:t>2000</w:t>
      </w:r>
      <w:r>
        <w:rPr>
          <w:rFonts w:hint="eastAsia" w:ascii="方正仿宋_GBK" w:hAnsi="Times New Roman" w:eastAsia="方正仿宋_GBK"/>
          <w:kern w:val="2"/>
          <w:sz w:val="32"/>
          <w:szCs w:val="32"/>
        </w:rPr>
        <w:t>亿元，各项贷款增速不低于</w:t>
      </w:r>
      <w:r>
        <w:rPr>
          <w:rFonts w:ascii="Times New Roman" w:hAnsi="Times New Roman" w:eastAsia="方正仿宋_GBK"/>
          <w:kern w:val="2"/>
          <w:sz w:val="32"/>
          <w:szCs w:val="32"/>
        </w:rPr>
        <w:t>15%</w:t>
      </w:r>
      <w:r>
        <w:rPr>
          <w:rFonts w:hint="eastAsia" w:ascii="方正仿宋_GBK" w:hAnsi="Times New Roman" w:eastAsia="方正仿宋_GBK"/>
          <w:kern w:val="2"/>
          <w:sz w:val="32"/>
          <w:szCs w:val="32"/>
        </w:rPr>
        <w:t>，普惠型小微企业贷款增速不低于各项贷款增速。</w:t>
      </w:r>
      <w:r>
        <w:rPr>
          <w:rFonts w:hint="eastAsia" w:ascii="方正楷体_GBK" w:hAnsi="Times New Roman" w:eastAsia="方正楷体_GBK"/>
          <w:kern w:val="2"/>
          <w:sz w:val="32"/>
          <w:szCs w:val="32"/>
        </w:rPr>
        <w:t>（市政府办、市发改委、人民银行盐城市分行、盐城金融监管分局按职责分工负责；所有任务均需各地落实，不再单独列出）</w:t>
      </w:r>
    </w:p>
    <w:p w14:paraId="3C1C35B1">
      <w:pPr>
        <w:spacing w:line="596" w:lineRule="exact"/>
        <w:ind w:firstLine="640" w:firstLineChars="200"/>
        <w:jc w:val="both"/>
        <w:rPr>
          <w:rFonts w:ascii="方正仿宋_GBK" w:hAnsi="Times New Roman" w:eastAsia="方正仿宋_GBK"/>
          <w:kern w:val="2"/>
          <w:sz w:val="32"/>
          <w:szCs w:val="32"/>
        </w:rPr>
      </w:pPr>
      <w:r>
        <w:rPr>
          <w:rFonts w:hint="eastAsia" w:ascii="方正黑体_GBK" w:hAnsi="Times New Roman" w:eastAsia="方正黑体_GBK"/>
          <w:kern w:val="2"/>
          <w:sz w:val="32"/>
          <w:szCs w:val="32"/>
        </w:rPr>
        <w:t>二、统筹用好财政贴息政策。</w:t>
      </w:r>
      <w:r>
        <w:rPr>
          <w:rFonts w:hint="eastAsia" w:ascii="方正仿宋_GBK" w:hAnsi="Times New Roman" w:eastAsia="方正仿宋_GBK"/>
          <w:kern w:val="2"/>
          <w:sz w:val="32"/>
          <w:szCs w:val="32"/>
        </w:rPr>
        <w:t>积极争取省制造业贷款财政贴息政策，在省财政给予</w:t>
      </w:r>
      <w:r>
        <w:rPr>
          <w:rFonts w:ascii="Times New Roman" w:hAnsi="Times New Roman" w:eastAsia="方正仿宋_GBK"/>
          <w:kern w:val="2"/>
          <w:sz w:val="32"/>
          <w:szCs w:val="32"/>
        </w:rPr>
        <w:t>1</w:t>
      </w:r>
      <w:r>
        <w:rPr>
          <w:rFonts w:hint="eastAsia" w:ascii="方正仿宋_GBK" w:hAnsi="Times New Roman" w:eastAsia="方正仿宋_GBK"/>
          <w:kern w:val="2"/>
          <w:sz w:val="32"/>
          <w:szCs w:val="32"/>
        </w:rPr>
        <w:t>个百分点贴息的基础上，统筹再给予</w:t>
      </w:r>
      <w:r>
        <w:rPr>
          <w:rFonts w:ascii="Times New Roman" w:hAnsi="Times New Roman" w:eastAsia="方正仿宋_GBK"/>
          <w:kern w:val="2"/>
          <w:sz w:val="32"/>
          <w:szCs w:val="32"/>
        </w:rPr>
        <w:t>1</w:t>
      </w:r>
      <w:r>
        <w:rPr>
          <w:rFonts w:hint="eastAsia" w:ascii="方正仿宋_GBK" w:hAnsi="Times New Roman" w:eastAsia="方正仿宋_GBK"/>
          <w:kern w:val="2"/>
          <w:sz w:val="32"/>
          <w:szCs w:val="32"/>
        </w:rPr>
        <w:t>个百分点贴息。引导金融机构加大科技创新支持力度，用足用好“苏创融”等金融产品，实施科技创新企业首贷贴息政策，对符合条件的科技企业贷款给予年化</w:t>
      </w:r>
      <w:r>
        <w:rPr>
          <w:rFonts w:hint="eastAsia" w:ascii="Times New Roman" w:hAnsi="Times New Roman" w:eastAsia="方正仿宋_GBK"/>
          <w:kern w:val="2"/>
          <w:sz w:val="32"/>
          <w:szCs w:val="32"/>
        </w:rPr>
        <w:t>1%</w:t>
      </w:r>
      <w:r>
        <w:rPr>
          <w:rFonts w:hint="eastAsia" w:ascii="方正仿宋_GBK" w:hAnsi="Times New Roman" w:eastAsia="方正仿宋_GBK"/>
          <w:kern w:val="2"/>
          <w:sz w:val="32"/>
          <w:szCs w:val="32"/>
        </w:rPr>
        <w:t>贴息支持。鼓励各类企业积极申报省“城新贷”财政贴息项目，对市区范围内享受省“城新贷”贴息的城市更新项目，配套</w:t>
      </w:r>
      <w:r>
        <w:rPr>
          <w:rFonts w:ascii="Times New Roman" w:hAnsi="Times New Roman" w:eastAsia="方正仿宋_GBK"/>
          <w:kern w:val="2"/>
          <w:sz w:val="32"/>
          <w:szCs w:val="32"/>
        </w:rPr>
        <w:t>1</w:t>
      </w:r>
      <w:r>
        <w:rPr>
          <w:rFonts w:hint="eastAsia" w:ascii="方正仿宋_GBK" w:hAnsi="Times New Roman" w:eastAsia="方正仿宋_GBK"/>
          <w:kern w:val="2"/>
          <w:sz w:val="32"/>
          <w:szCs w:val="32"/>
        </w:rPr>
        <w:t>个百分点贴息。</w:t>
      </w:r>
      <w:r>
        <w:rPr>
          <w:rFonts w:hint="eastAsia" w:ascii="方正楷体_GBK" w:hAnsi="Times New Roman" w:eastAsia="方正楷体_GBK"/>
          <w:kern w:val="2"/>
          <w:sz w:val="32"/>
          <w:szCs w:val="32"/>
        </w:rPr>
        <w:t>（市科技局、市财政局、市住建局按职责分工负责）</w:t>
      </w:r>
    </w:p>
    <w:p w14:paraId="214499A6">
      <w:pPr>
        <w:spacing w:line="596" w:lineRule="exact"/>
        <w:ind w:firstLine="640" w:firstLineChars="200"/>
        <w:jc w:val="both"/>
        <w:rPr>
          <w:rFonts w:ascii="Times New Roman" w:hAnsi="Times New Roman" w:eastAsia="方正仿宋_GBK"/>
          <w:kern w:val="2"/>
          <w:sz w:val="32"/>
          <w:szCs w:val="32"/>
        </w:rPr>
      </w:pPr>
      <w:r>
        <w:rPr>
          <w:rFonts w:hint="eastAsia" w:ascii="方正黑体_GBK" w:hAnsi="Times New Roman" w:eastAsia="方正黑体_GBK"/>
          <w:kern w:val="2"/>
          <w:sz w:val="32"/>
          <w:szCs w:val="32"/>
        </w:rPr>
        <w:t>三、加快金融产品创新。</w:t>
      </w:r>
      <w:r>
        <w:rPr>
          <w:rFonts w:hint="eastAsia" w:ascii="方正仿宋_GBK" w:hAnsi="Times New Roman" w:eastAsia="方正仿宋_GBK"/>
          <w:kern w:val="2"/>
          <w:sz w:val="32"/>
          <w:szCs w:val="32"/>
        </w:rPr>
        <w:t>探索将再担保或保险纳入现有政银担风险共担体系，由普惠金融风险补偿基金资金池、再担保或保险、银行机构按相应比例承担风险责任，持续完善融资增信机制。发挥国家产融合作试点城市作用，鼓励金融机构创新开发金融产品。针对科技型初创期企业，支持“贷款</w:t>
      </w:r>
      <w:r>
        <w:rPr>
          <w:rFonts w:hint="eastAsia" w:ascii="Times New Roman" w:hAnsi="Times New Roman" w:eastAsia="方正仿宋_GBK"/>
          <w:kern w:val="2"/>
          <w:sz w:val="32"/>
          <w:szCs w:val="32"/>
        </w:rPr>
        <w:t>+</w:t>
      </w:r>
      <w:r>
        <w:rPr>
          <w:rFonts w:hint="eastAsia" w:ascii="方正仿宋_GBK" w:hAnsi="Times New Roman" w:eastAsia="方正仿宋_GBK"/>
          <w:kern w:val="2"/>
          <w:sz w:val="32"/>
          <w:szCs w:val="32"/>
        </w:rPr>
        <w:t>外部直投”等业务模式，做优“创新评分卡”“人才贷”“科技成果转化贷款”等信贷产品。充分发挥金融支农作用，探索开展“农机贷”等业务，推广“盐阜乡村振兴·创富贷”“红盐贷”等金融支农产品，积极开展生猪“保险</w:t>
      </w:r>
      <w:r>
        <w:rPr>
          <w:rFonts w:hint="eastAsia" w:ascii="Times New Roman" w:hAnsi="Times New Roman" w:eastAsia="方正仿宋_GBK"/>
          <w:kern w:val="2"/>
          <w:sz w:val="32"/>
          <w:szCs w:val="32"/>
        </w:rPr>
        <w:t>+</w:t>
      </w:r>
      <w:r>
        <w:rPr>
          <w:rFonts w:hint="eastAsia" w:ascii="方正仿宋_GBK" w:hAnsi="Times New Roman" w:eastAsia="方正仿宋_GBK"/>
          <w:kern w:val="2"/>
          <w:sz w:val="32"/>
          <w:szCs w:val="32"/>
        </w:rPr>
        <w:t>期货”试点。扎实推进东台市、亭湖区省级绿色金融创新改革试验区建设，做大“生态系统碳汇贷”“水权贷”规模，推动绿色金融和普惠金融融合发展。</w:t>
      </w:r>
      <w:r>
        <w:rPr>
          <w:rFonts w:hint="eastAsia" w:ascii="方正楷体_GBK" w:hAnsi="Times New Roman" w:eastAsia="方正楷体_GBK"/>
          <w:kern w:val="2"/>
          <w:sz w:val="32"/>
          <w:szCs w:val="32"/>
        </w:rPr>
        <w:t>（市委组织部、市政府办、市科技局、市工信局、市财政局、市农业农村局、人民银行盐城市分行、盐城金融监管分局、黄海金控集团按职责分工负责）</w:t>
      </w:r>
    </w:p>
    <w:p w14:paraId="5FC740AE">
      <w:pPr>
        <w:spacing w:line="596" w:lineRule="exact"/>
        <w:ind w:firstLine="640" w:firstLineChars="200"/>
        <w:jc w:val="both"/>
        <w:rPr>
          <w:rFonts w:ascii="方正仿宋_GBK" w:hAnsi="Times New Roman" w:eastAsia="方正仿宋_GBK"/>
          <w:kern w:val="2"/>
          <w:sz w:val="32"/>
          <w:szCs w:val="32"/>
        </w:rPr>
      </w:pPr>
      <w:r>
        <w:rPr>
          <w:rFonts w:hint="eastAsia" w:ascii="方正黑体_GBK" w:hAnsi="Times New Roman" w:eastAsia="方正黑体_GBK"/>
          <w:kern w:val="2"/>
          <w:sz w:val="32"/>
          <w:szCs w:val="32"/>
        </w:rPr>
        <w:t>四、发挥保险风险保障作用。</w:t>
      </w:r>
      <w:r>
        <w:rPr>
          <w:rFonts w:hint="eastAsia" w:ascii="方正仿宋_GBK" w:hAnsi="Times New Roman" w:eastAsia="方正仿宋_GBK"/>
          <w:kern w:val="2"/>
          <w:sz w:val="32"/>
          <w:szCs w:val="32"/>
        </w:rPr>
        <w:t>引导保险机构加大对知识产权、科研物资设备和科研成果质量的保障力度，鼓励保险机构完善科技保险产品体系。指导保险机构通过物业保证保险、房屋安全保险等产品，释放建筑企业缴纳的保证金，提高企业资金使用质效。引导保险机构丰富养老金融产品，开展人寿保险与长期护理保险责任转换业务试点，推动长护险拓面提质。对购买产品质量保险、产品责任保险、小额贷款保证保险的高新技术企业，按不超过实际缴纳保费的</w:t>
      </w:r>
      <w:r>
        <w:rPr>
          <w:rFonts w:ascii="Times New Roman" w:hAnsi="Times New Roman" w:eastAsia="方正仿宋_GBK"/>
          <w:kern w:val="2"/>
          <w:sz w:val="32"/>
          <w:szCs w:val="32"/>
        </w:rPr>
        <w:t>30%</w:t>
      </w:r>
      <w:r>
        <w:rPr>
          <w:rFonts w:hint="eastAsia" w:ascii="方正仿宋_GBK" w:hAnsi="Times New Roman" w:eastAsia="方正仿宋_GBK"/>
          <w:kern w:val="2"/>
          <w:sz w:val="32"/>
          <w:szCs w:val="32"/>
        </w:rPr>
        <w:t>给予补贴，每年每家企业最高不超过</w:t>
      </w:r>
      <w:r>
        <w:rPr>
          <w:rFonts w:ascii="Times New Roman" w:hAnsi="Times New Roman" w:eastAsia="方正仿宋_GBK"/>
          <w:kern w:val="2"/>
          <w:sz w:val="32"/>
          <w:szCs w:val="32"/>
        </w:rPr>
        <w:t>10</w:t>
      </w:r>
      <w:r>
        <w:rPr>
          <w:rFonts w:hint="eastAsia" w:ascii="方正仿宋_GBK" w:hAnsi="Times New Roman" w:eastAsia="方正仿宋_GBK"/>
          <w:kern w:val="2"/>
          <w:sz w:val="32"/>
          <w:szCs w:val="32"/>
        </w:rPr>
        <w:t>万元。</w:t>
      </w:r>
      <w:r>
        <w:rPr>
          <w:rFonts w:hint="eastAsia" w:ascii="方正楷体_GBK" w:hAnsi="Times New Roman" w:eastAsia="方正楷体_GBK"/>
          <w:kern w:val="2"/>
          <w:sz w:val="32"/>
          <w:szCs w:val="32"/>
        </w:rPr>
        <w:t>（市科技局、市财政局、市住建局、市医保局、盐城金融监管分局按职责分工负责）</w:t>
      </w:r>
    </w:p>
    <w:p w14:paraId="7A094912">
      <w:pPr>
        <w:spacing w:line="596" w:lineRule="exact"/>
        <w:ind w:firstLine="640" w:firstLineChars="200"/>
        <w:jc w:val="both"/>
        <w:rPr>
          <w:rFonts w:ascii="方正仿宋_GBK" w:hAnsi="Times New Roman" w:eastAsia="方正仿宋_GBK"/>
          <w:kern w:val="2"/>
          <w:sz w:val="32"/>
          <w:szCs w:val="32"/>
        </w:rPr>
      </w:pPr>
      <w:r>
        <w:rPr>
          <w:rFonts w:hint="eastAsia" w:ascii="方正黑体_GBK" w:hAnsi="Times New Roman" w:eastAsia="方正黑体_GBK"/>
          <w:kern w:val="2"/>
          <w:sz w:val="32"/>
          <w:szCs w:val="32"/>
        </w:rPr>
        <w:t>五、做强政府性融资担保体系。</w:t>
      </w:r>
      <w:r>
        <w:rPr>
          <w:rFonts w:hint="eastAsia" w:ascii="方正仿宋_GBK" w:hAnsi="Times New Roman" w:eastAsia="方正仿宋_GBK"/>
          <w:kern w:val="2"/>
          <w:sz w:val="32"/>
          <w:szCs w:val="32"/>
        </w:rPr>
        <w:t>明确政府性融资担保机构准公共服务定位，聚焦主责主业，专注服务中小微企业增信融资。持续扩大融资担保业务规模，鼓励开发新型低费的融资产品，发挥政府性融资担保机构不以营利为目的导向作用，财政对“小微贷”业务担保费补贴</w:t>
      </w:r>
      <w:r>
        <w:rPr>
          <w:rFonts w:ascii="Times New Roman" w:hAnsi="Times New Roman" w:eastAsia="方正仿宋_GBK"/>
          <w:kern w:val="2"/>
          <w:sz w:val="32"/>
          <w:szCs w:val="32"/>
        </w:rPr>
        <w:t>50%</w:t>
      </w:r>
      <w:r>
        <w:rPr>
          <w:rFonts w:hint="eastAsia" w:ascii="方正仿宋_GBK" w:hAnsi="Times New Roman" w:eastAsia="方正仿宋_GBK"/>
          <w:kern w:val="2"/>
          <w:sz w:val="32"/>
          <w:szCs w:val="32"/>
        </w:rPr>
        <w:t>，持续做好降费让利。支持融资担保机构开展“设备担”业务，对设备更新担保业务给予担保费</w:t>
      </w:r>
      <w:r>
        <w:rPr>
          <w:rFonts w:ascii="Times New Roman" w:hAnsi="Times New Roman" w:eastAsia="方正仿宋_GBK"/>
          <w:kern w:val="2"/>
          <w:sz w:val="32"/>
          <w:szCs w:val="32"/>
        </w:rPr>
        <w:t>80%</w:t>
      </w:r>
      <w:r>
        <w:rPr>
          <w:rFonts w:hint="eastAsia" w:ascii="方正仿宋_GBK" w:hAnsi="Times New Roman" w:eastAsia="方正仿宋_GBK"/>
          <w:kern w:val="2"/>
          <w:sz w:val="32"/>
          <w:szCs w:val="32"/>
        </w:rPr>
        <w:t>补贴。</w:t>
      </w:r>
      <w:r>
        <w:rPr>
          <w:rFonts w:hint="eastAsia" w:ascii="方正楷体_GBK" w:hAnsi="Times New Roman" w:eastAsia="方正楷体_GBK"/>
          <w:kern w:val="2"/>
          <w:sz w:val="32"/>
          <w:szCs w:val="32"/>
        </w:rPr>
        <w:t>（市政府办、市财政局、黄海金控集团按职责分工负责）</w:t>
      </w:r>
    </w:p>
    <w:p w14:paraId="51452D07">
      <w:pPr>
        <w:spacing w:line="596" w:lineRule="exact"/>
        <w:ind w:firstLine="640" w:firstLineChars="200"/>
        <w:jc w:val="both"/>
        <w:rPr>
          <w:rFonts w:ascii="Times New Roman" w:hAnsi="Times New Roman" w:eastAsia="方正仿宋_GBK"/>
          <w:kern w:val="2"/>
          <w:sz w:val="32"/>
          <w:szCs w:val="32"/>
        </w:rPr>
      </w:pPr>
      <w:r>
        <w:rPr>
          <w:rFonts w:hint="eastAsia" w:ascii="方正黑体_GBK" w:hAnsi="Times New Roman" w:eastAsia="方正黑体_GBK"/>
          <w:kern w:val="2"/>
          <w:sz w:val="32"/>
          <w:szCs w:val="32"/>
        </w:rPr>
        <w:t>六、持续优化续贷机制。</w:t>
      </w:r>
      <w:r>
        <w:rPr>
          <w:rFonts w:hint="eastAsia" w:ascii="方正仿宋_GBK" w:hAnsi="Times New Roman" w:eastAsia="方正仿宋_GBK"/>
          <w:kern w:val="2"/>
          <w:sz w:val="32"/>
          <w:szCs w:val="32"/>
        </w:rPr>
        <w:t>做优做细无还本续贷工作，将续贷对象扩展至所有小微企业，并阶段性扩展至</w:t>
      </w:r>
      <w:r>
        <w:rPr>
          <w:rFonts w:ascii="Times New Roman" w:hAnsi="Times New Roman" w:eastAsia="方正仿宋_GBK"/>
          <w:kern w:val="2"/>
          <w:sz w:val="32"/>
          <w:szCs w:val="32"/>
        </w:rPr>
        <w:t>2027</w:t>
      </w:r>
      <w:r>
        <w:rPr>
          <w:rFonts w:hint="eastAsia" w:ascii="方正仿宋_GBK" w:hAnsi="Times New Roman" w:eastAsia="方正仿宋_GBK"/>
          <w:kern w:val="2"/>
          <w:sz w:val="32"/>
          <w:szCs w:val="32"/>
        </w:rPr>
        <w:t>年</w:t>
      </w:r>
      <w:r>
        <w:rPr>
          <w:rFonts w:ascii="Times New Roman" w:hAnsi="Times New Roman" w:eastAsia="方正仿宋_GBK"/>
          <w:kern w:val="2"/>
          <w:sz w:val="32"/>
          <w:szCs w:val="32"/>
        </w:rPr>
        <w:t>9</w:t>
      </w:r>
      <w:r>
        <w:rPr>
          <w:rFonts w:hint="eastAsia" w:ascii="方正仿宋_GBK" w:hAnsi="Times New Roman" w:eastAsia="方正仿宋_GBK"/>
          <w:kern w:val="2"/>
          <w:sz w:val="32"/>
          <w:szCs w:val="32"/>
        </w:rPr>
        <w:t>月</w:t>
      </w:r>
      <w:r>
        <w:rPr>
          <w:rFonts w:ascii="Times New Roman" w:hAnsi="Times New Roman" w:eastAsia="方正仿宋_GBK"/>
          <w:kern w:val="2"/>
          <w:sz w:val="32"/>
          <w:szCs w:val="32"/>
        </w:rPr>
        <w:t>30</w:t>
      </w:r>
      <w:r>
        <w:rPr>
          <w:rFonts w:hint="eastAsia" w:ascii="方正仿宋_GBK" w:hAnsi="Times New Roman" w:eastAsia="方正仿宋_GBK"/>
          <w:kern w:val="2"/>
          <w:sz w:val="32"/>
          <w:szCs w:val="32"/>
        </w:rPr>
        <w:t>日前到期的中型企业流动资金贷款，对符合条件的中小微企业到期流动资金贷款“应续尽续”，切实减轻中小微企业资金周转压力。鼓励银行机构推广随借随还类循环贷款和中期流动资金贷款，完善续贷沟通、线上续贷、续贷企业全面风险评估、“正面清单</w:t>
      </w:r>
      <w:r>
        <w:rPr>
          <w:rFonts w:ascii="Times New Roman" w:hAnsi="Times New Roman" w:eastAsia="方正仿宋_GBK"/>
          <w:kern w:val="2"/>
          <w:sz w:val="32"/>
          <w:szCs w:val="32"/>
        </w:rPr>
        <w:t>+</w:t>
      </w:r>
      <w:r>
        <w:rPr>
          <w:rFonts w:hint="eastAsia" w:ascii="方正仿宋_GBK" w:hAnsi="Times New Roman" w:eastAsia="方正仿宋_GBK"/>
          <w:kern w:val="2"/>
          <w:sz w:val="32"/>
          <w:szCs w:val="32"/>
        </w:rPr>
        <w:t>负面清单”四项机制，对确有转贷资金需求的小微企业，积极以无还本续贷机制承接，稳定企业资金预期。</w:t>
      </w:r>
      <w:r>
        <w:rPr>
          <w:rFonts w:hint="eastAsia" w:ascii="方正楷体_GBK" w:hAnsi="Times New Roman" w:eastAsia="方正楷体_GBK"/>
          <w:kern w:val="2"/>
          <w:sz w:val="32"/>
          <w:szCs w:val="32"/>
        </w:rPr>
        <w:t>（盐城金融监管分局负责）</w:t>
      </w:r>
    </w:p>
    <w:p w14:paraId="65DD3830">
      <w:pPr>
        <w:spacing w:line="596" w:lineRule="exact"/>
        <w:ind w:firstLine="640" w:firstLineChars="200"/>
        <w:jc w:val="both"/>
        <w:rPr>
          <w:rFonts w:ascii="方正仿宋_GBK" w:hAnsi="Times New Roman" w:eastAsia="方正仿宋_GBK"/>
          <w:kern w:val="2"/>
          <w:sz w:val="32"/>
          <w:szCs w:val="32"/>
        </w:rPr>
      </w:pPr>
      <w:r>
        <w:rPr>
          <w:rFonts w:hint="eastAsia" w:ascii="方正黑体_GBK" w:hAnsi="Times New Roman" w:eastAsia="方正黑体_GBK"/>
          <w:kern w:val="2"/>
          <w:sz w:val="32"/>
          <w:szCs w:val="32"/>
        </w:rPr>
        <w:t>七、壮大优质投资基金规模。</w:t>
      </w:r>
      <w:r>
        <w:rPr>
          <w:rFonts w:hint="eastAsia" w:ascii="方正仿宋_GBK" w:hAnsi="Times New Roman" w:eastAsia="方正仿宋_GBK"/>
          <w:kern w:val="2"/>
          <w:sz w:val="32"/>
          <w:szCs w:val="32"/>
        </w:rPr>
        <w:t>国内外知名基金管理机构设立的各类创新子基金，根据子基金项目投向予以最高不超过子基金规模</w:t>
      </w:r>
      <w:r>
        <w:rPr>
          <w:rFonts w:hint="eastAsia" w:ascii="Times New Roman" w:hAnsi="Times New Roman" w:eastAsia="方正仿宋_GBK"/>
          <w:kern w:val="2"/>
          <w:sz w:val="32"/>
          <w:szCs w:val="32"/>
        </w:rPr>
        <w:t>50</w:t>
      </w:r>
      <w:r>
        <w:rPr>
          <w:rFonts w:ascii="Times New Roman" w:hAnsi="Times New Roman" w:eastAsia="方正仿宋_GBK"/>
          <w:kern w:val="2"/>
          <w:sz w:val="32"/>
          <w:szCs w:val="32"/>
        </w:rPr>
        <w:t>%</w:t>
      </w:r>
      <w:r>
        <w:rPr>
          <w:rFonts w:hint="eastAsia" w:ascii="方正仿宋_GBK" w:hAnsi="Times New Roman" w:eastAsia="方正仿宋_GBK"/>
          <w:kern w:val="2"/>
          <w:sz w:val="32"/>
          <w:szCs w:val="32"/>
        </w:rPr>
        <w:t>的配套出资。经备案的天使投资、创业投资机构投资种子期、初创期科技企业，按其首轮实际投资额的</w:t>
      </w:r>
      <w:r>
        <w:rPr>
          <w:rFonts w:ascii="Times New Roman" w:hAnsi="Times New Roman" w:eastAsia="方正仿宋_GBK"/>
          <w:kern w:val="2"/>
          <w:sz w:val="32"/>
          <w:szCs w:val="32"/>
        </w:rPr>
        <w:t>15%</w:t>
      </w:r>
      <w:r>
        <w:rPr>
          <w:rFonts w:hint="eastAsia" w:ascii="方正仿宋_GBK" w:hAnsi="Times New Roman" w:eastAsia="方正仿宋_GBK"/>
          <w:kern w:val="2"/>
          <w:sz w:val="32"/>
          <w:szCs w:val="32"/>
        </w:rPr>
        <w:t>给予奖励，单个机构年度奖励最高</w:t>
      </w:r>
      <w:r>
        <w:rPr>
          <w:rFonts w:ascii="Times New Roman" w:hAnsi="Times New Roman" w:eastAsia="方正仿宋_GBK"/>
          <w:kern w:val="2"/>
          <w:sz w:val="32"/>
          <w:szCs w:val="32"/>
        </w:rPr>
        <w:t>200</w:t>
      </w:r>
      <w:r>
        <w:rPr>
          <w:rFonts w:hint="eastAsia" w:ascii="方正仿宋_GBK" w:hAnsi="Times New Roman" w:eastAsia="方正仿宋_GBK"/>
          <w:kern w:val="2"/>
          <w:sz w:val="32"/>
          <w:szCs w:val="32"/>
        </w:rPr>
        <w:t>万元；首轮投资发生损失的，经评估，按其投资的实际损失给予</w:t>
      </w:r>
      <w:r>
        <w:rPr>
          <w:rFonts w:ascii="Times New Roman" w:hAnsi="Times New Roman" w:eastAsia="方正仿宋_GBK"/>
          <w:kern w:val="2"/>
          <w:sz w:val="32"/>
          <w:szCs w:val="32"/>
        </w:rPr>
        <w:t>20%</w:t>
      </w:r>
      <w:r>
        <w:rPr>
          <w:rFonts w:hint="eastAsia" w:ascii="方正仿宋_GBK" w:hAnsi="Times New Roman" w:eastAsia="方正仿宋_GBK"/>
          <w:kern w:val="2"/>
          <w:sz w:val="32"/>
          <w:szCs w:val="32"/>
        </w:rPr>
        <w:t>的补偿，每个投资项目市级风险补偿金额不超过</w:t>
      </w:r>
      <w:r>
        <w:rPr>
          <w:rFonts w:ascii="Times New Roman" w:hAnsi="Times New Roman" w:eastAsia="方正仿宋_GBK"/>
          <w:kern w:val="2"/>
          <w:sz w:val="32"/>
          <w:szCs w:val="32"/>
        </w:rPr>
        <w:t>200</w:t>
      </w:r>
      <w:r>
        <w:rPr>
          <w:rFonts w:hint="eastAsia" w:ascii="方正仿宋_GBK" w:hAnsi="Times New Roman" w:eastAsia="方正仿宋_GBK"/>
          <w:kern w:val="2"/>
          <w:sz w:val="32"/>
          <w:szCs w:val="32"/>
        </w:rPr>
        <w:t>万元。</w:t>
      </w:r>
      <w:r>
        <w:rPr>
          <w:rFonts w:hint="eastAsia" w:ascii="方正楷体_GBK" w:hAnsi="Times New Roman" w:eastAsia="方正楷体_GBK"/>
          <w:kern w:val="2"/>
          <w:sz w:val="32"/>
          <w:szCs w:val="32"/>
        </w:rPr>
        <w:t>（市政府办、市科技局、市财政局、黄海金控集团按职责分工负责）</w:t>
      </w:r>
    </w:p>
    <w:p w14:paraId="72C170B0">
      <w:pPr>
        <w:spacing w:line="596" w:lineRule="exact"/>
        <w:ind w:firstLine="640" w:firstLineChars="200"/>
        <w:jc w:val="both"/>
        <w:rPr>
          <w:rFonts w:ascii="Times New Roman" w:hAnsi="Times New Roman" w:eastAsia="方正仿宋_GBK"/>
          <w:kern w:val="2"/>
          <w:sz w:val="32"/>
          <w:szCs w:val="32"/>
        </w:rPr>
      </w:pPr>
      <w:r>
        <w:rPr>
          <w:rFonts w:hint="eastAsia" w:ascii="方正黑体_GBK" w:hAnsi="Times New Roman" w:eastAsia="方正黑体_GBK"/>
          <w:kern w:val="2"/>
          <w:sz w:val="32"/>
          <w:szCs w:val="32"/>
        </w:rPr>
        <w:t>八、进一步降低企业综合融资成本。</w:t>
      </w:r>
      <w:r>
        <w:rPr>
          <w:rFonts w:hint="eastAsia" w:ascii="方正仿宋_GBK" w:hAnsi="Times New Roman" w:eastAsia="方正仿宋_GBK"/>
          <w:kern w:val="2"/>
          <w:sz w:val="32"/>
          <w:szCs w:val="32"/>
        </w:rPr>
        <w:t>落实利率市场化改革各项政策要求，通过定期监测、窗口指导和考核约束等方式，推动金融机构根据</w:t>
      </w:r>
      <w:r>
        <w:rPr>
          <w:rFonts w:ascii="Times New Roman" w:hAnsi="Times New Roman" w:eastAsia="方正仿宋_GBK"/>
          <w:kern w:val="2"/>
          <w:sz w:val="32"/>
          <w:szCs w:val="32"/>
        </w:rPr>
        <w:t>LPR</w:t>
      </w:r>
      <w:r>
        <w:rPr>
          <w:rFonts w:hint="eastAsia" w:ascii="方正仿宋_GBK" w:hAnsi="Times New Roman" w:eastAsia="方正仿宋_GBK"/>
          <w:kern w:val="2"/>
          <w:sz w:val="32"/>
          <w:szCs w:val="32"/>
        </w:rPr>
        <w:t>走势调整内部资金转移定价，定期对利率压降情况开展督导，推动全市贷款量价平衡、利率稳中有降，</w:t>
      </w:r>
      <w:r>
        <w:rPr>
          <w:rFonts w:ascii="方正仿宋_GBK" w:hAnsi="Times New Roman" w:eastAsia="方正仿宋_GBK"/>
          <w:kern w:val="2"/>
          <w:sz w:val="32"/>
          <w:szCs w:val="32"/>
        </w:rPr>
        <w:t>力争</w:t>
      </w:r>
      <w:r>
        <w:rPr>
          <w:rFonts w:ascii="Times New Roman" w:hAnsi="Times New Roman" w:eastAsia="方正仿宋_GBK"/>
          <w:kern w:val="2"/>
          <w:sz w:val="32"/>
          <w:szCs w:val="32"/>
        </w:rPr>
        <w:t>2025</w:t>
      </w:r>
      <w:r>
        <w:rPr>
          <w:rFonts w:ascii="方正仿宋_GBK" w:hAnsi="Times New Roman" w:eastAsia="方正仿宋_GBK"/>
          <w:kern w:val="2"/>
          <w:sz w:val="32"/>
          <w:szCs w:val="32"/>
        </w:rPr>
        <w:t>年</w:t>
      </w:r>
      <w:r>
        <w:rPr>
          <w:rFonts w:hint="eastAsia" w:ascii="方正仿宋_GBK" w:hAnsi="Times New Roman" w:eastAsia="方正仿宋_GBK"/>
          <w:kern w:val="2"/>
          <w:sz w:val="32"/>
          <w:szCs w:val="32"/>
        </w:rPr>
        <w:t>全</w:t>
      </w:r>
      <w:r>
        <w:rPr>
          <w:rFonts w:ascii="方正仿宋_GBK" w:hAnsi="Times New Roman" w:eastAsia="方正仿宋_GBK"/>
          <w:kern w:val="2"/>
          <w:sz w:val="32"/>
          <w:szCs w:val="32"/>
        </w:rPr>
        <w:t>市企业贷款加权平均利率较上年下降</w:t>
      </w:r>
      <w:r>
        <w:rPr>
          <w:rFonts w:ascii="Times New Roman" w:hAnsi="Times New Roman" w:eastAsia="方正仿宋_GBK"/>
          <w:kern w:val="2"/>
          <w:sz w:val="32"/>
          <w:szCs w:val="32"/>
        </w:rPr>
        <w:t>30 BP</w:t>
      </w:r>
      <w:r>
        <w:rPr>
          <w:rFonts w:hint="eastAsia" w:ascii="方正仿宋_GBK" w:hAnsi="Times New Roman" w:eastAsia="方正仿宋_GBK"/>
          <w:kern w:val="2"/>
          <w:sz w:val="32"/>
          <w:szCs w:val="32"/>
        </w:rPr>
        <w:t>。对照中小微企业融资收费规定和“两禁两限”要求，进一步规范信贷融资收费，严格落实服务收费规定，规范与第三方合作行为，降低企业贷款服务费用。鼓励银行机构精准滴灌，压减中间环节，推动低成本信贷资金直达企业。</w:t>
      </w:r>
      <w:r>
        <w:rPr>
          <w:rFonts w:hint="eastAsia" w:ascii="方正楷体_GBK" w:hAnsi="Times New Roman" w:eastAsia="方正楷体_GBK"/>
          <w:kern w:val="2"/>
          <w:sz w:val="32"/>
          <w:szCs w:val="32"/>
        </w:rPr>
        <w:t>（人民银行盐城市分行、盐城金融监管分局按职责分工负责）</w:t>
      </w:r>
    </w:p>
    <w:p w14:paraId="020CF552">
      <w:pPr>
        <w:spacing w:line="596" w:lineRule="exact"/>
        <w:ind w:firstLine="640" w:firstLineChars="200"/>
        <w:jc w:val="both"/>
        <w:rPr>
          <w:rFonts w:ascii="Times New Roman" w:hAnsi="Times New Roman" w:eastAsia="方正仿宋_GBK"/>
          <w:kern w:val="2"/>
          <w:sz w:val="32"/>
          <w:szCs w:val="32"/>
        </w:rPr>
      </w:pPr>
      <w:r>
        <w:rPr>
          <w:rFonts w:hint="eastAsia" w:ascii="方正黑体_GBK" w:hAnsi="Times New Roman" w:eastAsia="方正黑体_GBK"/>
          <w:kern w:val="2"/>
          <w:sz w:val="32"/>
          <w:szCs w:val="32"/>
        </w:rPr>
        <w:t>九、大力提升金融服务效能。</w:t>
      </w:r>
      <w:r>
        <w:rPr>
          <w:rFonts w:hint="eastAsia" w:ascii="方正仿宋_GBK" w:hAnsi="Times New Roman" w:eastAsia="方正仿宋_GBK"/>
          <w:kern w:val="2"/>
          <w:sz w:val="32"/>
          <w:szCs w:val="32"/>
        </w:rPr>
        <w:t>探索建立小微企业融资服务平台，为小微</w:t>
      </w:r>
      <w:r>
        <w:rPr>
          <w:rFonts w:hint="eastAsia" w:ascii="方正仿宋_GBK" w:hAnsi="Times New Roman" w:eastAsia="方正仿宋_GBK"/>
          <w:kern w:val="2"/>
          <w:sz w:val="32"/>
          <w:szCs w:val="32"/>
        </w:rPr>
        <w:tab/>
      </w:r>
      <w:r>
        <w:rPr>
          <w:rFonts w:hint="eastAsia" w:ascii="方正仿宋_GBK" w:hAnsi="Times New Roman" w:eastAsia="方正仿宋_GBK"/>
          <w:kern w:val="2"/>
          <w:sz w:val="32"/>
          <w:szCs w:val="32"/>
        </w:rPr>
        <w:t>企业提供个性化、专业化金融服务，促进银企对接精准畅通。探索建立“股权</w:t>
      </w:r>
      <w:r>
        <w:rPr>
          <w:rFonts w:hint="eastAsia" w:ascii="Times New Roman" w:hAnsi="Times New Roman" w:eastAsia="方正仿宋_GBK"/>
          <w:kern w:val="2"/>
          <w:sz w:val="32"/>
          <w:szCs w:val="32"/>
        </w:rPr>
        <w:t>+</w:t>
      </w:r>
      <w:r>
        <w:rPr>
          <w:rFonts w:hint="eastAsia" w:ascii="方正仿宋_GBK" w:hAnsi="Times New Roman" w:eastAsia="方正仿宋_GBK"/>
          <w:kern w:val="2"/>
          <w:sz w:val="32"/>
          <w:szCs w:val="32"/>
        </w:rPr>
        <w:t>债权</w:t>
      </w:r>
      <w:r>
        <w:rPr>
          <w:rFonts w:hint="eastAsia" w:ascii="Times New Roman" w:hAnsi="Times New Roman" w:eastAsia="方正仿宋_GBK"/>
          <w:kern w:val="2"/>
          <w:sz w:val="32"/>
          <w:szCs w:val="32"/>
        </w:rPr>
        <w:t>+</w:t>
      </w:r>
      <w:r>
        <w:rPr>
          <w:rFonts w:hint="eastAsia" w:ascii="方正仿宋_GBK" w:hAnsi="Times New Roman" w:eastAsia="方正仿宋_GBK"/>
          <w:kern w:val="2"/>
          <w:sz w:val="32"/>
          <w:szCs w:val="32"/>
        </w:rPr>
        <w:t>保险”相结合的“投贷保联动”融资模式，通过“见投即贷、见投即保、见贷即保”方式，推动股权投资、银行贷款与保险保障联动发力。引导地方法人金融机构针对不同金额设立不同审批流程节点，明确审批时限，提高审批效率。持续推进小微企业、新型农业经营主体首贷扩面工作，探索“无贷户—首贷户—伙伴客户”递进式金融服务路径。强化信息整合与共享，帮助金融机构准确及时获得信息资源，提高金融服务的精准度和效率值。探索开展供应链金融服务模式，为企业提供系统性综合供应链金融方案。开展金融消费季活动，鼓励金融机构以消费券、支付立减等方式支持“特色类”个体工商户等行业主体发展。</w:t>
      </w:r>
      <w:r>
        <w:rPr>
          <w:rFonts w:hint="eastAsia" w:ascii="方正楷体_GBK" w:hAnsi="Times New Roman" w:eastAsia="方正楷体_GBK"/>
          <w:kern w:val="2"/>
          <w:sz w:val="32"/>
          <w:szCs w:val="32"/>
        </w:rPr>
        <w:t>（市政府办、市工信局、市数据局、市市场监管局、人民银行盐城市分行、盐城金融监管分局、黄海金控集团按职责分工负责）</w:t>
      </w:r>
    </w:p>
    <w:p w14:paraId="462BF520">
      <w:pPr>
        <w:spacing w:line="596" w:lineRule="exact"/>
        <w:ind w:firstLine="640" w:firstLineChars="200"/>
        <w:jc w:val="both"/>
        <w:rPr>
          <w:rFonts w:ascii="Times New Roman" w:hAnsi="Times New Roman" w:eastAsia="方正仿宋_GBK"/>
          <w:kern w:val="2"/>
          <w:sz w:val="32"/>
          <w:szCs w:val="32"/>
        </w:rPr>
      </w:pPr>
      <w:r>
        <w:rPr>
          <w:rFonts w:hint="eastAsia" w:ascii="方正黑体_GBK" w:hAnsi="Times New Roman" w:eastAsia="方正黑体_GBK"/>
          <w:kern w:val="2"/>
          <w:sz w:val="32"/>
          <w:szCs w:val="32"/>
        </w:rPr>
        <w:t>十、强化考核激励导向作用。</w:t>
      </w:r>
      <w:r>
        <w:rPr>
          <w:rFonts w:hint="eastAsia" w:ascii="方正仿宋_GBK" w:hAnsi="Times New Roman" w:eastAsia="方正仿宋_GBK"/>
          <w:kern w:val="2"/>
          <w:sz w:val="32"/>
          <w:szCs w:val="32"/>
        </w:rPr>
        <w:t>对照小微企业金融服务监管评价要求，激励引导银行机构强化小微金融战略导向。对实现小微企业贷款增长目标的法人银行机构，向小型企业、微型企业和个体工商户发放符合规定利率要求的小额贷款取得的利息收入，免征增值税。指导银行机构、政府性融资担保机构建立健全免责机制，认真执行“普惠型小微企业贷款不良率不高于各项贷款不良率</w:t>
      </w:r>
      <w:r>
        <w:rPr>
          <w:rFonts w:ascii="Times New Roman" w:hAnsi="Times New Roman" w:eastAsia="方正仿宋_GBK"/>
          <w:kern w:val="2"/>
          <w:sz w:val="32"/>
          <w:szCs w:val="32"/>
        </w:rPr>
        <w:t>3</w:t>
      </w:r>
      <w:r>
        <w:rPr>
          <w:rFonts w:hint="eastAsia" w:ascii="方正仿宋_GBK" w:hAnsi="Times New Roman" w:eastAsia="方正仿宋_GBK"/>
          <w:kern w:val="2"/>
          <w:sz w:val="32"/>
          <w:szCs w:val="32"/>
        </w:rPr>
        <w:t>个百分点以内”的容忍度标准，明确尽职免责各环节机制流程，提升责任认定效率，努力实现“应免尽免”，切实为基层信贷人员松绑减负。</w:t>
      </w:r>
      <w:r>
        <w:rPr>
          <w:rFonts w:hint="eastAsia" w:ascii="方正楷体_GBK" w:hAnsi="Times New Roman" w:eastAsia="方正楷体_GBK"/>
          <w:kern w:val="2"/>
          <w:sz w:val="32"/>
          <w:szCs w:val="32"/>
        </w:rPr>
        <w:t>（市政府办、市税务局、市财政局、盐城金融监管分局按职责分工负责）</w:t>
      </w:r>
    </w:p>
    <w:p w14:paraId="2B37DE4A">
      <w:pPr>
        <w:widowControl w:val="0"/>
        <w:spacing w:line="580" w:lineRule="exact"/>
        <w:ind w:firstLine="640" w:firstLineChars="200"/>
        <w:jc w:val="both"/>
      </w:pPr>
      <w:r>
        <w:rPr>
          <w:rFonts w:hint="eastAsia" w:ascii="方正仿宋_GBK" w:hAnsi="Times New Roman" w:eastAsia="方正仿宋_GBK"/>
          <w:kern w:val="2"/>
          <w:sz w:val="32"/>
          <w:szCs w:val="32"/>
        </w:rPr>
        <w:t>各地、各有关部门和各金融机构要进一步提高对中小微企业金融服务重要性的认识，加快部署推进、加强跟踪问效，结合中小微企业的实际需求与融资特点，发挥金融政策和财政政策的协同作用，有力有序有效推动中小微企业融资落地落实。本政策自公布之日起实施，有效期截至</w:t>
      </w:r>
      <w:r>
        <w:rPr>
          <w:rFonts w:hint="eastAsia" w:ascii="Times New Roman" w:hAnsi="Times New Roman" w:eastAsia="方正仿宋_GBK"/>
          <w:kern w:val="2"/>
          <w:sz w:val="32"/>
          <w:szCs w:val="32"/>
        </w:rPr>
        <w:t>2026</w:t>
      </w:r>
      <w:r>
        <w:rPr>
          <w:rFonts w:hint="eastAsia" w:ascii="方正仿宋_GBK" w:hAnsi="Times New Roman" w:eastAsia="方正仿宋_GBK"/>
          <w:kern w:val="2"/>
          <w:sz w:val="32"/>
          <w:szCs w:val="32"/>
        </w:rPr>
        <w:t>年</w:t>
      </w:r>
      <w:r>
        <w:rPr>
          <w:rFonts w:hint="eastAsia" w:ascii="Times New Roman" w:hAnsi="Times New Roman" w:eastAsia="方正仿宋_GBK"/>
          <w:kern w:val="2"/>
          <w:sz w:val="32"/>
          <w:szCs w:val="32"/>
        </w:rPr>
        <w:t>12</w:t>
      </w:r>
      <w:r>
        <w:rPr>
          <w:rFonts w:hint="eastAsia" w:ascii="方正仿宋_GBK" w:hAnsi="Times New Roman" w:eastAsia="方正仿宋_GBK"/>
          <w:kern w:val="2"/>
          <w:sz w:val="32"/>
          <w:szCs w:val="32"/>
        </w:rPr>
        <w:t>月</w:t>
      </w:r>
      <w:r>
        <w:rPr>
          <w:rFonts w:hint="eastAsia" w:ascii="Times New Roman" w:hAnsi="Times New Roman" w:eastAsia="方正仿宋_GBK"/>
          <w:kern w:val="2"/>
          <w:sz w:val="32"/>
          <w:szCs w:val="32"/>
        </w:rPr>
        <w:t>31</w:t>
      </w:r>
      <w:r>
        <w:rPr>
          <w:rFonts w:hint="eastAsia" w:ascii="方正仿宋_GBK" w:hAnsi="Times New Roman" w:eastAsia="方正仿宋_GBK"/>
          <w:kern w:val="2"/>
          <w:sz w:val="32"/>
          <w:szCs w:val="32"/>
        </w:rPr>
        <w:t>日，与其他各项政策按“从优不重复”原则执行，该政策根据国家、省、市相关政策适时优化调整，由市政府办负责解释。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CD9AC4-E27E-4FFA-B208-E715F52B75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3ACDBC7-EDD6-4B28-AFD6-7241B4C91279}"/>
  </w:font>
  <w:font w:name="仿宋">
    <w:panose1 w:val="02010609060101010101"/>
    <w:charset w:val="86"/>
    <w:family w:val="auto"/>
    <w:pitch w:val="default"/>
    <w:sig w:usb0="800002BF" w:usb1="38CF7CFA" w:usb2="00000016" w:usb3="00000000" w:csb0="00040001" w:csb1="00000000"/>
    <w:embedRegular r:id="rId3" w:fontKey="{A11D090D-5B80-48D8-BD44-E4D6CDB3C4F2}"/>
  </w:font>
  <w:font w:name="方正小标宋_GBK">
    <w:panose1 w:val="03000509000000000000"/>
    <w:charset w:val="86"/>
    <w:family w:val="script"/>
    <w:pitch w:val="default"/>
    <w:sig w:usb0="00000001" w:usb1="080E0000" w:usb2="00000000" w:usb3="00000000" w:csb0="00040000" w:csb1="00000000"/>
    <w:embedRegular r:id="rId4" w:fontKey="{C1A61738-4055-4ADC-A74A-A26FF2FA48BC}"/>
  </w:font>
  <w:font w:name="方正仿宋_GBK">
    <w:panose1 w:val="02000000000000000000"/>
    <w:charset w:val="86"/>
    <w:family w:val="script"/>
    <w:pitch w:val="default"/>
    <w:sig w:usb0="00000001" w:usb1="080E0000" w:usb2="00000000" w:usb3="00000000" w:csb0="00040000" w:csb1="00000000"/>
    <w:embedRegular r:id="rId5" w:fontKey="{1EBADBBF-6430-4149-AE27-BA4110FF9BE7}"/>
  </w:font>
  <w:font w:name="方正黑体_GBK">
    <w:panose1 w:val="03000509000000000000"/>
    <w:charset w:val="86"/>
    <w:family w:val="script"/>
    <w:pitch w:val="default"/>
    <w:sig w:usb0="00000001" w:usb1="080E0000" w:usb2="00000000" w:usb3="00000000" w:csb0="00040000" w:csb1="00000000"/>
    <w:embedRegular r:id="rId6" w:fontKey="{498FFB4A-9B07-4278-BFD9-ABF05302A662}"/>
  </w:font>
  <w:font w:name="方正楷体_GBK">
    <w:panose1 w:val="03000509000000000000"/>
    <w:charset w:val="86"/>
    <w:family w:val="script"/>
    <w:pitch w:val="default"/>
    <w:sig w:usb0="00000001" w:usb1="080E0000" w:usb2="00000000" w:usb3="00000000" w:csb0="00040000" w:csb1="00000000"/>
    <w:embedRegular r:id="rId7" w:fontKey="{D4906708-05EB-428E-91EE-D2C6B4D1DE9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517236"/>
    <w:rsid w:val="0F517236"/>
    <w:rsid w:val="1C9673F2"/>
    <w:rsid w:val="36D85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jc w:val="both"/>
    </w:pPr>
    <w:rPr>
      <w:rFonts w:ascii="仿宋" w:hAnsi="仿宋" w:eastAsia="仿宋" w:cs="Times New Roman"/>
      <w:kern w:val="2"/>
      <w:sz w:val="32"/>
      <w:szCs w:val="32"/>
      <w:lang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ormal_wrd6"/>
    <w:basedOn w:val="1"/>
    <w:autoRedefine/>
    <w:qFormat/>
    <w:uiPriority w:val="0"/>
    <w:rPr>
      <w:rFonts w:eastAsia="宋体"/>
      <w:color w:val="000000"/>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2025-07-30T10:40:00Z</dcterms:created>
  <dc:creator>祝子</dc:creator>
  <cp:lastModifiedBy>祝子</cp:lastModifiedBy>
  <dcterms:modified xsi:type="dcterms:W3CDTF">2025-07-30T10:42:06Z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41C18EECEC154F389032FEC9D930985D_13</vt:lpwstr>
  </property>
  <property fmtid="{D5CDD505-2E9C-101B-9397-08002B2CF9AE}" pid="4" name="KSOTemplateDocerSaveRecord">
    <vt:lpwstr>eyJoZGlkIjoiZmQ0ODBmNTc5Mjk1ZDMzZjg1Njc3YzYyOWJlODA1ZWQiLCJ1c2VySWQiOiIxNTA4Nzg1MjUwIn0=</vt:lpwstr>
  </property>
</Properties>
</file>